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DD75" w14:textId="4FA50EC3" w:rsidR="003F53A9" w:rsidRDefault="00B63581" w:rsidP="0064378A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hanging="578"/>
        <w:jc w:val="both"/>
      </w:pPr>
      <w:bookmarkStart w:id="0" w:name="_GoBack"/>
      <w:bookmarkEnd w:id="0"/>
      <w:r>
        <w:t xml:space="preserve">A </w:t>
      </w:r>
      <w:r>
        <w:rPr>
          <w:spacing w:val="-3"/>
        </w:rPr>
        <w:t xml:space="preserve">review </w:t>
      </w:r>
      <w:r>
        <w:t xml:space="preserve">of </w:t>
      </w:r>
      <w:r>
        <w:rPr>
          <w:spacing w:val="-3"/>
        </w:rPr>
        <w:t xml:space="preserve">the </w:t>
      </w:r>
      <w:r>
        <w:rPr>
          <w:i/>
          <w:spacing w:val="-3"/>
        </w:rPr>
        <w:t xml:space="preserve">Electricity </w:t>
      </w:r>
      <w:r>
        <w:rPr>
          <w:i/>
        </w:rPr>
        <w:t xml:space="preserve">Act </w:t>
      </w:r>
      <w:r>
        <w:rPr>
          <w:i/>
          <w:spacing w:val="-3"/>
        </w:rPr>
        <w:t>1994</w:t>
      </w:r>
      <w:r>
        <w:rPr>
          <w:spacing w:val="-3"/>
        </w:rPr>
        <w:t xml:space="preserve">, the </w:t>
      </w:r>
      <w:r>
        <w:rPr>
          <w:i/>
          <w:spacing w:val="-3"/>
        </w:rPr>
        <w:t xml:space="preserve">Gas </w:t>
      </w:r>
      <w:r>
        <w:rPr>
          <w:i/>
          <w:spacing w:val="-4"/>
        </w:rPr>
        <w:t xml:space="preserve">Supply </w:t>
      </w:r>
      <w:r>
        <w:rPr>
          <w:i/>
          <w:spacing w:val="-3"/>
        </w:rPr>
        <w:t>Act 2003</w:t>
      </w:r>
      <w:r>
        <w:rPr>
          <w:spacing w:val="-3"/>
        </w:rPr>
        <w:t xml:space="preserve">, the </w:t>
      </w:r>
      <w:r>
        <w:rPr>
          <w:i/>
          <w:spacing w:val="-3"/>
        </w:rPr>
        <w:t xml:space="preserve">Energy and Water Ombudsman Act 2006 </w:t>
      </w:r>
      <w:r>
        <w:rPr>
          <w:spacing w:val="-3"/>
        </w:rPr>
        <w:t xml:space="preserve">and subordinate </w:t>
      </w:r>
      <w:r>
        <w:rPr>
          <w:spacing w:val="-4"/>
        </w:rPr>
        <w:t xml:space="preserve">legislation, </w:t>
      </w:r>
      <w:r>
        <w:rPr>
          <w:spacing w:val="-3"/>
        </w:rPr>
        <w:t xml:space="preserve">and the </w:t>
      </w:r>
      <w:r>
        <w:rPr>
          <w:i/>
          <w:spacing w:val="-4"/>
        </w:rPr>
        <w:t xml:space="preserve">Liquid </w:t>
      </w:r>
      <w:r>
        <w:rPr>
          <w:i/>
          <w:spacing w:val="-3"/>
        </w:rPr>
        <w:t>Fuel Supply Act 1984</w:t>
      </w:r>
      <w:r>
        <w:rPr>
          <w:i/>
          <w:spacing w:val="55"/>
        </w:rPr>
        <w:t xml:space="preserve"> </w:t>
      </w:r>
      <w:r>
        <w:rPr>
          <w:spacing w:val="-4"/>
        </w:rPr>
        <w:t xml:space="preserve">(apart </w:t>
      </w:r>
      <w:r>
        <w:rPr>
          <w:spacing w:val="-3"/>
        </w:rPr>
        <w:t xml:space="preserve">from biofuel </w:t>
      </w:r>
      <w:r>
        <w:rPr>
          <w:spacing w:val="-4"/>
        </w:rPr>
        <w:t xml:space="preserve">mandate </w:t>
      </w:r>
      <w:r>
        <w:rPr>
          <w:spacing w:val="-3"/>
        </w:rPr>
        <w:t xml:space="preserve">provisions) was initiated </w:t>
      </w:r>
      <w:r>
        <w:t xml:space="preserve">to </w:t>
      </w:r>
      <w:r>
        <w:rPr>
          <w:spacing w:val="-4"/>
        </w:rPr>
        <w:t xml:space="preserve">assess whether </w:t>
      </w:r>
      <w:r>
        <w:rPr>
          <w:spacing w:val="-3"/>
        </w:rPr>
        <w:t xml:space="preserve">state energy </w:t>
      </w:r>
      <w:r>
        <w:rPr>
          <w:spacing w:val="-4"/>
        </w:rPr>
        <w:t>legislation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fit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3"/>
        </w:rPr>
        <w:t>purpose</w:t>
      </w:r>
      <w:r w:rsidR="0064378A">
        <w:rPr>
          <w:spacing w:val="-3"/>
        </w:rPr>
        <w:t>,</w:t>
      </w:r>
      <w:r>
        <w:rPr>
          <w:spacing w:val="-15"/>
        </w:rPr>
        <w:t xml:space="preserve"> </w:t>
      </w:r>
      <w:r>
        <w:rPr>
          <w:spacing w:val="-3"/>
        </w:rPr>
        <w:t>given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energy</w:t>
      </w:r>
      <w:r>
        <w:rPr>
          <w:spacing w:val="-14"/>
        </w:rPr>
        <w:t xml:space="preserve"> </w:t>
      </w:r>
      <w:r>
        <w:rPr>
          <w:spacing w:val="-4"/>
        </w:rPr>
        <w:t>transition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ongoing</w:t>
      </w:r>
      <w:r>
        <w:rPr>
          <w:spacing w:val="-15"/>
        </w:rPr>
        <w:t xml:space="preserve"> </w:t>
      </w:r>
      <w:r>
        <w:rPr>
          <w:spacing w:val="-3"/>
        </w:rPr>
        <w:t>changes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4"/>
        </w:rPr>
        <w:t>Queensland’s applied national</w:t>
      </w:r>
      <w:r>
        <w:rPr>
          <w:spacing w:val="-8"/>
        </w:rPr>
        <w:t xml:space="preserve"> </w:t>
      </w:r>
      <w:r>
        <w:rPr>
          <w:spacing w:val="-3"/>
        </w:rPr>
        <w:t>laws.</w:t>
      </w:r>
    </w:p>
    <w:p w14:paraId="668EDD77" w14:textId="77777777" w:rsidR="003F53A9" w:rsidRDefault="00B63581" w:rsidP="0064378A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hanging="578"/>
        <w:jc w:val="both"/>
      </w:pPr>
      <w:r>
        <w:rPr>
          <w:spacing w:val="-3"/>
        </w:rPr>
        <w:t xml:space="preserve">This review </w:t>
      </w:r>
      <w:r>
        <w:rPr>
          <w:spacing w:val="-4"/>
        </w:rPr>
        <w:t xml:space="preserve">confirmed </w:t>
      </w:r>
      <w:r>
        <w:rPr>
          <w:spacing w:val="-3"/>
        </w:rPr>
        <w:t xml:space="preserve">state energy laws, particularly the </w:t>
      </w:r>
      <w:r>
        <w:rPr>
          <w:i/>
          <w:spacing w:val="-3"/>
        </w:rPr>
        <w:t>Electricity Act 1994</w:t>
      </w:r>
      <w:r>
        <w:rPr>
          <w:spacing w:val="-3"/>
        </w:rPr>
        <w:t xml:space="preserve">, should </w:t>
      </w:r>
      <w:r>
        <w:rPr>
          <w:spacing w:val="-4"/>
        </w:rPr>
        <w:t xml:space="preserve">be </w:t>
      </w:r>
      <w:r>
        <w:rPr>
          <w:spacing w:val="-3"/>
        </w:rPr>
        <w:t xml:space="preserve">modernised and </w:t>
      </w:r>
      <w:r>
        <w:rPr>
          <w:spacing w:val="-4"/>
        </w:rPr>
        <w:t xml:space="preserve">streamlined </w:t>
      </w:r>
      <w:r>
        <w:t xml:space="preserve">to </w:t>
      </w:r>
      <w:r>
        <w:rPr>
          <w:spacing w:val="-3"/>
        </w:rPr>
        <w:t xml:space="preserve">provide </w:t>
      </w:r>
      <w:r>
        <w:t xml:space="preserve">a </w:t>
      </w:r>
      <w:r>
        <w:rPr>
          <w:spacing w:val="-4"/>
        </w:rPr>
        <w:t xml:space="preserve">future-focused </w:t>
      </w:r>
      <w:r>
        <w:rPr>
          <w:spacing w:val="-3"/>
        </w:rPr>
        <w:t xml:space="preserve">framework which </w:t>
      </w:r>
      <w:r>
        <w:t xml:space="preserve">is </w:t>
      </w:r>
      <w:r>
        <w:rPr>
          <w:spacing w:val="-3"/>
        </w:rPr>
        <w:t xml:space="preserve">flexible </w:t>
      </w:r>
      <w:r>
        <w:t xml:space="preserve">to </w:t>
      </w:r>
      <w:r>
        <w:rPr>
          <w:spacing w:val="-4"/>
        </w:rPr>
        <w:t xml:space="preserve">support </w:t>
      </w:r>
      <w:r>
        <w:t xml:space="preserve">a </w:t>
      </w:r>
      <w:r>
        <w:rPr>
          <w:spacing w:val="-3"/>
        </w:rPr>
        <w:t xml:space="preserve">diverse and evolving </w:t>
      </w:r>
      <w:r>
        <w:rPr>
          <w:spacing w:val="-4"/>
        </w:rPr>
        <w:t xml:space="preserve">industry, </w:t>
      </w:r>
      <w:r>
        <w:rPr>
          <w:spacing w:val="-3"/>
        </w:rPr>
        <w:t xml:space="preserve">has clearer rules for </w:t>
      </w:r>
      <w:r>
        <w:rPr>
          <w:spacing w:val="-4"/>
        </w:rPr>
        <w:t xml:space="preserve">operators </w:t>
      </w:r>
      <w:r>
        <w:rPr>
          <w:spacing w:val="-3"/>
        </w:rPr>
        <w:t xml:space="preserve">and </w:t>
      </w:r>
      <w:r>
        <w:rPr>
          <w:spacing w:val="-4"/>
        </w:rPr>
        <w:t xml:space="preserve">regulators, </w:t>
      </w:r>
      <w:r>
        <w:rPr>
          <w:spacing w:val="-3"/>
        </w:rPr>
        <w:t xml:space="preserve">and better aligns with applied </w:t>
      </w:r>
      <w:r>
        <w:rPr>
          <w:spacing w:val="-4"/>
        </w:rPr>
        <w:t>national</w:t>
      </w:r>
      <w:r>
        <w:rPr>
          <w:spacing w:val="-16"/>
        </w:rPr>
        <w:t xml:space="preserve"> </w:t>
      </w:r>
      <w:r>
        <w:rPr>
          <w:spacing w:val="-4"/>
        </w:rPr>
        <w:t>laws.</w:t>
      </w:r>
    </w:p>
    <w:p w14:paraId="668EDD79" w14:textId="21D7DEAF" w:rsidR="003F53A9" w:rsidRDefault="00B63581" w:rsidP="0064378A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hanging="578"/>
        <w:jc w:val="both"/>
      </w:pPr>
      <w:r>
        <w:t xml:space="preserve">An </w:t>
      </w:r>
      <w:r>
        <w:rPr>
          <w:spacing w:val="-4"/>
        </w:rPr>
        <w:t xml:space="preserve">options </w:t>
      </w:r>
      <w:r>
        <w:rPr>
          <w:spacing w:val="-3"/>
        </w:rPr>
        <w:t xml:space="preserve">paper seeks feedback from </w:t>
      </w:r>
      <w:r>
        <w:rPr>
          <w:spacing w:val="-4"/>
        </w:rPr>
        <w:t xml:space="preserve">stakeholders </w:t>
      </w:r>
      <w:r>
        <w:rPr>
          <w:spacing w:val="-3"/>
        </w:rPr>
        <w:t xml:space="preserve">and </w:t>
      </w:r>
      <w:r>
        <w:rPr>
          <w:spacing w:val="-4"/>
        </w:rPr>
        <w:t xml:space="preserve">interested </w:t>
      </w:r>
      <w:r>
        <w:rPr>
          <w:spacing w:val="-3"/>
        </w:rPr>
        <w:t xml:space="preserve">parties about possible </w:t>
      </w:r>
      <w:r>
        <w:rPr>
          <w:spacing w:val="-4"/>
        </w:rPr>
        <w:t>changes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state</w:t>
      </w:r>
      <w:r>
        <w:rPr>
          <w:spacing w:val="-17"/>
        </w:rPr>
        <w:t xml:space="preserve"> </w:t>
      </w:r>
      <w:r>
        <w:rPr>
          <w:spacing w:val="-3"/>
        </w:rPr>
        <w:t>energy</w:t>
      </w:r>
      <w:r>
        <w:rPr>
          <w:spacing w:val="-18"/>
        </w:rPr>
        <w:t xml:space="preserve"> </w:t>
      </w:r>
      <w:r>
        <w:rPr>
          <w:spacing w:val="-3"/>
        </w:rPr>
        <w:t>laws.</w:t>
      </w:r>
      <w:r>
        <w:rPr>
          <w:spacing w:val="-17"/>
        </w:rPr>
        <w:t xml:space="preserve"> </w:t>
      </w:r>
    </w:p>
    <w:p w14:paraId="668EDD7D" w14:textId="428F80DC" w:rsidR="003F53A9" w:rsidRDefault="00B63581" w:rsidP="0064378A">
      <w:pPr>
        <w:pStyle w:val="ListParagraph"/>
        <w:numPr>
          <w:ilvl w:val="0"/>
          <w:numId w:val="1"/>
        </w:numPr>
        <w:tabs>
          <w:tab w:val="left" w:pos="581"/>
        </w:tabs>
        <w:spacing w:before="240"/>
        <w:ind w:hanging="578"/>
        <w:jc w:val="both"/>
      </w:pPr>
      <w:r>
        <w:rPr>
          <w:u w:val="single"/>
        </w:rPr>
        <w:t>Cabinet approved</w:t>
      </w:r>
      <w:r>
        <w:t xml:space="preserve"> the public release of the Review of Queensland Energy Legislation options paper.</w:t>
      </w:r>
    </w:p>
    <w:p w14:paraId="668EDD7F" w14:textId="77777777" w:rsidR="003F53A9" w:rsidRDefault="00B63581" w:rsidP="0064378A">
      <w:pPr>
        <w:pStyle w:val="ListParagraph"/>
        <w:numPr>
          <w:ilvl w:val="0"/>
          <w:numId w:val="1"/>
        </w:numPr>
        <w:tabs>
          <w:tab w:val="left" w:pos="580"/>
        </w:tabs>
        <w:spacing w:before="360"/>
        <w:ind w:right="6" w:hanging="578"/>
        <w:rPr>
          <w:i/>
        </w:rPr>
      </w:pPr>
      <w:r>
        <w:rPr>
          <w:i/>
          <w:u w:val="single"/>
        </w:rPr>
        <w:t>Attachments</w:t>
      </w:r>
    </w:p>
    <w:p w14:paraId="668EDD80" w14:textId="7A16DB4E" w:rsidR="003F53A9" w:rsidRPr="00CB28E8" w:rsidRDefault="00EA7E1D" w:rsidP="0064378A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284"/>
        <w:jc w:val="left"/>
      </w:pPr>
      <w:hyperlink r:id="rId10" w:history="1">
        <w:r w:rsidR="00B63581" w:rsidRPr="009468DE">
          <w:rPr>
            <w:rStyle w:val="Hyperlink"/>
          </w:rPr>
          <w:t xml:space="preserve">Review of Queensland Energy Legislation </w:t>
        </w:r>
        <w:r w:rsidR="00A53CED" w:rsidRPr="009468DE">
          <w:rPr>
            <w:rStyle w:val="Hyperlink"/>
          </w:rPr>
          <w:t>Part 1: Options paper</w:t>
        </w:r>
        <w:r w:rsidR="0064378A" w:rsidRPr="009468DE">
          <w:rPr>
            <w:rStyle w:val="Hyperlink"/>
          </w:rPr>
          <w:t xml:space="preserve"> </w:t>
        </w:r>
        <w:r w:rsidR="0064378A" w:rsidRPr="009468DE">
          <w:rPr>
            <w:rStyle w:val="Hyperlink"/>
            <w:i/>
          </w:rPr>
          <w:t>A consultation paper containing summarised regulatory impact statements</w:t>
        </w:r>
      </w:hyperlink>
    </w:p>
    <w:p w14:paraId="7185BA27" w14:textId="7D643ECC" w:rsidR="00090133" w:rsidRPr="00CB28E8" w:rsidRDefault="00EA7E1D" w:rsidP="0064378A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hanging="284"/>
        <w:jc w:val="left"/>
      </w:pPr>
      <w:hyperlink r:id="rId11" w:history="1">
        <w:r w:rsidR="00090133" w:rsidRPr="009468DE">
          <w:rPr>
            <w:rStyle w:val="Hyperlink"/>
          </w:rPr>
          <w:t xml:space="preserve">Review of Queensland Energy Legislation </w:t>
        </w:r>
        <w:r w:rsidR="00A53CED" w:rsidRPr="009468DE">
          <w:rPr>
            <w:rStyle w:val="Hyperlink"/>
          </w:rPr>
          <w:t>Part 2: Options paper</w:t>
        </w:r>
        <w:r w:rsidR="0064378A" w:rsidRPr="009468DE">
          <w:rPr>
            <w:rStyle w:val="Hyperlink"/>
          </w:rPr>
          <w:t xml:space="preserve"> </w:t>
        </w:r>
        <w:r w:rsidR="0064378A" w:rsidRPr="009468DE">
          <w:rPr>
            <w:rStyle w:val="Hyperlink"/>
            <w:i/>
          </w:rPr>
          <w:t>A consultation paper containing detailed regulatory impact statements</w:t>
        </w:r>
      </w:hyperlink>
    </w:p>
    <w:sectPr w:rsidR="00090133" w:rsidRPr="00CB28E8" w:rsidSect="00F80ECC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1E2A" w14:textId="77777777" w:rsidR="00E10034" w:rsidRDefault="00E10034" w:rsidP="00F80ECC">
      <w:r>
        <w:separator/>
      </w:r>
    </w:p>
  </w:endnote>
  <w:endnote w:type="continuationSeparator" w:id="0">
    <w:p w14:paraId="2F7D0095" w14:textId="77777777" w:rsidR="00E10034" w:rsidRDefault="00E10034" w:rsidP="00F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DD4A" w14:textId="77777777" w:rsidR="00E10034" w:rsidRDefault="00E10034" w:rsidP="00F80ECC">
      <w:r>
        <w:separator/>
      </w:r>
    </w:p>
  </w:footnote>
  <w:footnote w:type="continuationSeparator" w:id="0">
    <w:p w14:paraId="6DE34B08" w14:textId="77777777" w:rsidR="00E10034" w:rsidRDefault="00E10034" w:rsidP="00F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CCD8" w14:textId="77777777" w:rsidR="00F80ECC" w:rsidRPr="00937A4A" w:rsidRDefault="00F80ECC" w:rsidP="00F80E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CB945FE" w14:textId="77777777" w:rsidR="00F80ECC" w:rsidRPr="00937A4A" w:rsidRDefault="00F80ECC" w:rsidP="00F80E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ABF2513" w14:textId="1E60C3ED" w:rsidR="00F80ECC" w:rsidRPr="00937A4A" w:rsidRDefault="00F80ECC" w:rsidP="00F80EC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227C9A">
      <w:rPr>
        <w:b/>
      </w:rPr>
      <w:t>October</w:t>
    </w:r>
    <w:r>
      <w:rPr>
        <w:b/>
      </w:rPr>
      <w:t xml:space="preserve"> 2019</w:t>
    </w:r>
  </w:p>
  <w:p w14:paraId="31FE10DC" w14:textId="615C2AD5" w:rsidR="00F80ECC" w:rsidRDefault="00F80ECC" w:rsidP="00F80ECC">
    <w:pPr>
      <w:pStyle w:val="Header"/>
      <w:spacing w:before="120"/>
      <w:rPr>
        <w:b/>
        <w:u w:val="single"/>
      </w:rPr>
    </w:pPr>
    <w:r>
      <w:rPr>
        <w:b/>
        <w:u w:val="single"/>
      </w:rPr>
      <w:t>Public consultation on proposed changes to Queensland’s state energy legislation</w:t>
    </w:r>
  </w:p>
  <w:p w14:paraId="7AD9A248" w14:textId="15C59972" w:rsidR="00F80ECC" w:rsidRDefault="00F80ECC" w:rsidP="00F80ECC">
    <w:pPr>
      <w:pStyle w:val="Header"/>
      <w:spacing w:before="120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0A33A69C" w14:textId="77777777" w:rsidR="00F80ECC" w:rsidRDefault="00F80ECC" w:rsidP="00F80EC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61E"/>
    <w:multiLevelType w:val="hybridMultilevel"/>
    <w:tmpl w:val="229E5186"/>
    <w:lvl w:ilvl="0" w:tplc="1B4EE724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FA564A1E">
      <w:numFmt w:val="bullet"/>
      <w:lvlText w:val=""/>
      <w:lvlJc w:val="left"/>
      <w:pPr>
        <w:ind w:left="1031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DAA0D890">
      <w:numFmt w:val="bullet"/>
      <w:lvlText w:val="•"/>
      <w:lvlJc w:val="left"/>
      <w:pPr>
        <w:ind w:left="1976" w:hanging="454"/>
      </w:pPr>
      <w:rPr>
        <w:rFonts w:hint="default"/>
      </w:rPr>
    </w:lvl>
    <w:lvl w:ilvl="3" w:tplc="C7885CB2">
      <w:numFmt w:val="bullet"/>
      <w:lvlText w:val="•"/>
      <w:lvlJc w:val="left"/>
      <w:pPr>
        <w:ind w:left="2912" w:hanging="454"/>
      </w:pPr>
      <w:rPr>
        <w:rFonts w:hint="default"/>
      </w:rPr>
    </w:lvl>
    <w:lvl w:ilvl="4" w:tplc="A57876BE">
      <w:numFmt w:val="bullet"/>
      <w:lvlText w:val="•"/>
      <w:lvlJc w:val="left"/>
      <w:pPr>
        <w:ind w:left="3848" w:hanging="454"/>
      </w:pPr>
      <w:rPr>
        <w:rFonts w:hint="default"/>
      </w:rPr>
    </w:lvl>
    <w:lvl w:ilvl="5" w:tplc="ED1A7D22">
      <w:numFmt w:val="bullet"/>
      <w:lvlText w:val="•"/>
      <w:lvlJc w:val="left"/>
      <w:pPr>
        <w:ind w:left="4784" w:hanging="454"/>
      </w:pPr>
      <w:rPr>
        <w:rFonts w:hint="default"/>
      </w:rPr>
    </w:lvl>
    <w:lvl w:ilvl="6" w:tplc="DE002A9E">
      <w:numFmt w:val="bullet"/>
      <w:lvlText w:val="•"/>
      <w:lvlJc w:val="left"/>
      <w:pPr>
        <w:ind w:left="5720" w:hanging="454"/>
      </w:pPr>
      <w:rPr>
        <w:rFonts w:hint="default"/>
      </w:rPr>
    </w:lvl>
    <w:lvl w:ilvl="7" w:tplc="61C64F54">
      <w:numFmt w:val="bullet"/>
      <w:lvlText w:val="•"/>
      <w:lvlJc w:val="left"/>
      <w:pPr>
        <w:ind w:left="6656" w:hanging="454"/>
      </w:pPr>
      <w:rPr>
        <w:rFonts w:hint="default"/>
      </w:rPr>
    </w:lvl>
    <w:lvl w:ilvl="8" w:tplc="CA3845D4">
      <w:numFmt w:val="bullet"/>
      <w:lvlText w:val="•"/>
      <w:lvlJc w:val="left"/>
      <w:pPr>
        <w:ind w:left="7592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A9"/>
    <w:rsid w:val="00071CC3"/>
    <w:rsid w:val="00090133"/>
    <w:rsid w:val="000B37B8"/>
    <w:rsid w:val="000D15A4"/>
    <w:rsid w:val="001647F3"/>
    <w:rsid w:val="00226035"/>
    <w:rsid w:val="00227C9A"/>
    <w:rsid w:val="00361561"/>
    <w:rsid w:val="003F53A9"/>
    <w:rsid w:val="00446730"/>
    <w:rsid w:val="0064378A"/>
    <w:rsid w:val="006E622B"/>
    <w:rsid w:val="00765A83"/>
    <w:rsid w:val="008D0176"/>
    <w:rsid w:val="009468DE"/>
    <w:rsid w:val="00947EA7"/>
    <w:rsid w:val="00A53CED"/>
    <w:rsid w:val="00B63581"/>
    <w:rsid w:val="00C140EF"/>
    <w:rsid w:val="00CB28E8"/>
    <w:rsid w:val="00E10034"/>
    <w:rsid w:val="00E36F8D"/>
    <w:rsid w:val="00EA7E1D"/>
    <w:rsid w:val="00EF08F8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0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0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C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2B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5A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5A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C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8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aper2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Paper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9F1E9-B1A0-418E-AD54-D71C8267C1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C632A-C7B9-4EE8-8FFA-36DC0677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4E812-0AB8-477C-B4CC-E7F6308E1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1020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 Attachment Cover Sheet V2</vt:lpstr>
    </vt:vector>
  </TitlesOfParts>
  <Company/>
  <LinksUpToDate>false</LinksUpToDate>
  <CharactersWithSpaces>1190</CharactersWithSpaces>
  <SharedDoc>false</SharedDoc>
  <HyperlinkBase>https://www.cabinet.qld.gov.au/documents/2019/Oct/EnLeg/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 Attachment Cover Sheet V2</dc:title>
  <dc:creator/>
  <cp:lastModifiedBy/>
  <cp:revision>9</cp:revision>
  <dcterms:created xsi:type="dcterms:W3CDTF">2019-11-19T04:51:00Z</dcterms:created>
  <dcterms:modified xsi:type="dcterms:W3CDTF">2020-02-12T02:32:00Z</dcterms:modified>
  <cp:category>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2019-08-21T00:00:00Z</vt:filetime>
  </property>
  <property fmtid="{D5CDD505-2E9C-101B-9397-08002B2CF9AE}" pid="5" name="ContentTypeId">
    <vt:lpwstr>0x010100DDE14CFDD070B24F85F5DE43654FF01E</vt:lpwstr>
  </property>
</Properties>
</file>